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00788A" w14:textId="3A6986CC" w:rsidR="000E7F96" w:rsidRDefault="000E7F96" w:rsidP="000E7F96">
      <w:pPr>
        <w:pStyle w:val="Nadpis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  <w:r>
        <w:t>Požadavek na zahájení nového programu (</w:t>
      </w:r>
      <w:r w:rsidR="006117B8">
        <w:t>SecPro II</w:t>
      </w:r>
      <w:r>
        <w:t>)</w:t>
      </w:r>
    </w:p>
    <w:p w14:paraId="701D1BA0" w14:textId="1D7FCF0F" w:rsidR="000E7F96" w:rsidRDefault="000E7F96" w:rsidP="000E7F96">
      <w:pPr>
        <w:jc w:val="both"/>
      </w:pPr>
      <w:r>
        <w:t xml:space="preserve">V souladu s ustanoveními písm. a) až d) odst. 6, § 5a zákona č. 130/2002 Sb., </w:t>
      </w:r>
      <w:r w:rsidR="004F598F">
        <w:rPr>
          <w:bCs/>
        </w:rPr>
        <w:t>o podpoře výzkumu, vývoje a inovací z veřejných prostředků a o změně některých zákonů (zákon o podpoře výzkumu a vývoje), ve znění pozdějších předpisů</w:t>
      </w:r>
      <w:r>
        <w:t xml:space="preserve">, se předkládá požadavek na zahájení nového programu podpory aplikovaného výzkumu včetně povinných údajů. </w:t>
      </w:r>
    </w:p>
    <w:p w14:paraId="3551F080" w14:textId="2A2583D0" w:rsidR="00050825" w:rsidRDefault="00050825" w:rsidP="000E7F96">
      <w:pPr>
        <w:jc w:val="both"/>
      </w:pPr>
      <w:r>
        <w:t xml:space="preserve">Program </w:t>
      </w:r>
      <w:proofErr w:type="spellStart"/>
      <w:r w:rsidR="006117B8">
        <w:t>SecPro</w:t>
      </w:r>
      <w:proofErr w:type="spellEnd"/>
      <w:r w:rsidR="006117B8">
        <w:t xml:space="preserve"> 2 je navazujícím programem na aktuálně realizovaný Program bezpečnostního výzkumu pro potřeby státu 2022-2027 (</w:t>
      </w:r>
      <w:proofErr w:type="spellStart"/>
      <w:r w:rsidR="006117B8">
        <w:t>SecPro</w:t>
      </w:r>
      <w:proofErr w:type="spellEnd"/>
      <w:r w:rsidR="006117B8">
        <w:t>), který je realizován formou veřejných zakázek</w:t>
      </w:r>
      <w:r w:rsidR="00D6305B">
        <w:t xml:space="preserve"> </w:t>
      </w:r>
    </w:p>
    <w:p w14:paraId="27B9ACA2" w14:textId="77777777" w:rsidR="000E7F96" w:rsidRDefault="000E7F96" w:rsidP="000E7F96">
      <w:pPr>
        <w:pStyle w:val="Nadpis2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  <w:r>
        <w:t>Název</w:t>
      </w:r>
    </w:p>
    <w:p w14:paraId="19207EB9" w14:textId="4BE2E25A" w:rsidR="000E7F96" w:rsidRPr="000E7F96" w:rsidRDefault="006117B8" w:rsidP="000E7F96">
      <w:r>
        <w:rPr>
          <w:rFonts w:cstheme="minorHAnsi"/>
          <w:b/>
        </w:rPr>
        <w:t xml:space="preserve">Program bezpečnostního výzkumu pro potřeby státu </w:t>
      </w:r>
      <w:r w:rsidR="008251AA">
        <w:rPr>
          <w:rFonts w:cstheme="minorHAnsi"/>
          <w:b/>
        </w:rPr>
        <w:t>2028–2033</w:t>
      </w:r>
      <w:r w:rsidR="00F06CA9">
        <w:rPr>
          <w:rFonts w:cstheme="minorHAnsi"/>
          <w:b/>
        </w:rPr>
        <w:t xml:space="preserve"> (</w:t>
      </w:r>
      <w:proofErr w:type="spellStart"/>
      <w:r>
        <w:rPr>
          <w:rFonts w:cstheme="minorHAnsi"/>
          <w:b/>
        </w:rPr>
        <w:t>SecPro</w:t>
      </w:r>
      <w:proofErr w:type="spellEnd"/>
      <w:r>
        <w:rPr>
          <w:rFonts w:cstheme="minorHAnsi"/>
          <w:b/>
        </w:rPr>
        <w:t xml:space="preserve"> II</w:t>
      </w:r>
      <w:r w:rsidR="00F06CA9">
        <w:rPr>
          <w:rFonts w:cstheme="minorHAnsi"/>
          <w:b/>
        </w:rPr>
        <w:t>)</w:t>
      </w:r>
    </w:p>
    <w:p w14:paraId="0EAA37B5" w14:textId="660DAEA6" w:rsidR="000E7F96" w:rsidRDefault="000E7F96" w:rsidP="000E7F96">
      <w:pPr>
        <w:pStyle w:val="Nadpis2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  <w:r>
        <w:t>cíle</w:t>
      </w:r>
      <w:r w:rsidR="00653192">
        <w:t xml:space="preserve"> a zaměření programu</w:t>
      </w:r>
    </w:p>
    <w:p w14:paraId="082189CC" w14:textId="77777777" w:rsidR="006117B8" w:rsidRPr="006117B8" w:rsidRDefault="006117B8" w:rsidP="00322F54">
      <w:pPr>
        <w:jc w:val="both"/>
        <w:rPr>
          <w:b/>
          <w:bCs/>
        </w:rPr>
      </w:pPr>
      <w:r>
        <w:t xml:space="preserve">Program </w:t>
      </w:r>
      <w:proofErr w:type="spellStart"/>
      <w:r>
        <w:t>SecPro</w:t>
      </w:r>
      <w:proofErr w:type="spellEnd"/>
      <w:r>
        <w:t xml:space="preserve"> II synergicky doplňuje v portfoliu bezpečnostního výzkumu další dva programy účelové podpory. </w:t>
      </w:r>
      <w:r w:rsidRPr="006117B8">
        <w:rPr>
          <w:b/>
          <w:bCs/>
        </w:rPr>
        <w:t>Jeho primárním posláním je stát se nástrojem pro plnění ad hoc výzkumných potřeb konečných uživatelů výsledků – součástí bezpečnostního systému ČR.</w:t>
      </w:r>
    </w:p>
    <w:p w14:paraId="1700C8DA" w14:textId="1426052D" w:rsidR="006117B8" w:rsidRDefault="006117B8" w:rsidP="00322F54">
      <w:pPr>
        <w:jc w:val="both"/>
      </w:pPr>
      <w:r>
        <w:t>Program je určen k naplňování konkrétních výzkumných potřeb orgánů státní správy podílejících se na plnění úkolů v rámci systému vnitřní bezpečnosti a ochrany obyvatelstva ČR. Uživatelem výsledků Programu, bude stát, tj. příslušný orgán státní správy, který své výzkumné potřeby předložil poskytovateli.</w:t>
      </w:r>
    </w:p>
    <w:p w14:paraId="7564CDC8" w14:textId="261F3A00" w:rsidR="006117B8" w:rsidRDefault="006117B8" w:rsidP="00322F54">
      <w:pPr>
        <w:jc w:val="both"/>
      </w:pPr>
      <w:r>
        <w:t xml:space="preserve">Společně s Programem TECHSEC, který bude zacílen </w:t>
      </w:r>
      <w:r w:rsidRPr="006117B8">
        <w:t>bude cílen na podporu ad hoc technologických řešení, jejich ověřování, rozvoj a jejich dotahování co nejblíže komerčnímu uplatnění, v některých případech přímému uplatnění u konečných uživatelů</w:t>
      </w:r>
      <w:r>
        <w:t xml:space="preserve"> a Programem IMPAKT II se snahou systematicky rozvíjet schopnosti výzkumných organizací realizovat relevantní bezpečnostní výzkum se stane klíčovou součástí nového portfolia programů bezpečnostního výzkumu. </w:t>
      </w:r>
    </w:p>
    <w:p w14:paraId="465CE26E" w14:textId="6ED6C78D" w:rsidR="00F641D1" w:rsidRDefault="00F641D1" w:rsidP="00322F54">
      <w:pPr>
        <w:jc w:val="both"/>
      </w:pPr>
      <w:r w:rsidRPr="0091446E">
        <w:rPr>
          <w:b/>
          <w:bCs/>
        </w:rPr>
        <w:t>Věcné zaměření</w:t>
      </w:r>
      <w:r>
        <w:t>:</w:t>
      </w:r>
    </w:p>
    <w:p w14:paraId="14A389A1" w14:textId="209AF27C" w:rsidR="00F641D1" w:rsidRDefault="00F641D1" w:rsidP="007F78C3">
      <w:pPr>
        <w:pStyle w:val="Odstavecseseznamem"/>
        <w:numPr>
          <w:ilvl w:val="0"/>
          <w:numId w:val="1"/>
        </w:numPr>
        <w:jc w:val="both"/>
      </w:pPr>
      <w:r>
        <w:t>Vymáhání práva a for</w:t>
      </w:r>
      <w:r w:rsidR="00151EDC">
        <w:t>enzní vědy</w:t>
      </w:r>
    </w:p>
    <w:p w14:paraId="4CF33965" w14:textId="735541BB" w:rsidR="00151EDC" w:rsidRDefault="00151EDC" w:rsidP="007F78C3">
      <w:pPr>
        <w:pStyle w:val="Odstavecseseznamem"/>
        <w:numPr>
          <w:ilvl w:val="0"/>
          <w:numId w:val="1"/>
        </w:numPr>
        <w:jc w:val="both"/>
      </w:pPr>
      <w:r>
        <w:t>Kyberbezpečnost</w:t>
      </w:r>
    </w:p>
    <w:p w14:paraId="44FFCF06" w14:textId="28C7961A" w:rsidR="001353EC" w:rsidRDefault="00151EDC" w:rsidP="007F78C3">
      <w:pPr>
        <w:pStyle w:val="Odstavecseseznamem"/>
        <w:numPr>
          <w:ilvl w:val="0"/>
          <w:numId w:val="1"/>
        </w:numPr>
        <w:jc w:val="both"/>
      </w:pPr>
      <w:r>
        <w:t>Chemick</w:t>
      </w:r>
      <w:r w:rsidR="001353EC">
        <w:t>é</w:t>
      </w:r>
      <w:r>
        <w:t>, biologick</w:t>
      </w:r>
      <w:r w:rsidR="001353EC">
        <w:t>é</w:t>
      </w:r>
      <w:r>
        <w:t>, radiační a jadern</w:t>
      </w:r>
      <w:r w:rsidR="001353EC">
        <w:t>é hrozby</w:t>
      </w:r>
    </w:p>
    <w:p w14:paraId="577A5E8E" w14:textId="63C7A9E4" w:rsidR="00151EDC" w:rsidRDefault="007F78C3" w:rsidP="007F78C3">
      <w:pPr>
        <w:pStyle w:val="Odstavecseseznamem"/>
        <w:numPr>
          <w:ilvl w:val="0"/>
          <w:numId w:val="1"/>
        </w:numPr>
        <w:jc w:val="both"/>
      </w:pPr>
      <w:r>
        <w:t>K</w:t>
      </w:r>
      <w:r w:rsidR="001353EC">
        <w:t xml:space="preserve">rizová připravenost bezpečnostních sborů a </w:t>
      </w:r>
      <w:proofErr w:type="spellStart"/>
      <w:r>
        <w:t>resilience</w:t>
      </w:r>
      <w:proofErr w:type="spellEnd"/>
      <w:r>
        <w:t xml:space="preserve"> společnosti</w:t>
      </w:r>
      <w:r w:rsidR="00151EDC">
        <w:t xml:space="preserve"> </w:t>
      </w:r>
    </w:p>
    <w:p w14:paraId="27FFB9BA" w14:textId="101DD0FE" w:rsidR="00072F1D" w:rsidRPr="000E7F96" w:rsidRDefault="00072F1D" w:rsidP="00072F1D">
      <w:pPr>
        <w:jc w:val="both"/>
      </w:pPr>
      <w:r>
        <w:t xml:space="preserve">Program </w:t>
      </w:r>
      <w:proofErr w:type="spellStart"/>
      <w:r w:rsidR="006117B8">
        <w:t>SecPro</w:t>
      </w:r>
      <w:proofErr w:type="spellEnd"/>
      <w:r w:rsidR="006117B8">
        <w:t xml:space="preserve"> 2</w:t>
      </w:r>
      <w:r w:rsidR="004243CB">
        <w:t xml:space="preserve"> sdílí toto obecné věcné zaměření s dalšími součástmi budoucího portfolia programů bezpečnostního výzkumu</w:t>
      </w:r>
      <w:r w:rsidR="006117B8">
        <w:t>. Poskytovatel nepředpokládá rozdělení na podprogramy.</w:t>
      </w:r>
    </w:p>
    <w:p w14:paraId="77C50D89" w14:textId="1B54D35F" w:rsidR="00881BC1" w:rsidRDefault="00881BC1" w:rsidP="00F1215B">
      <w:pPr>
        <w:spacing w:before="120" w:after="120"/>
        <w:jc w:val="both"/>
        <w:rPr>
          <w:bCs/>
        </w:rPr>
      </w:pPr>
      <w:r>
        <w:rPr>
          <w:bCs/>
        </w:rPr>
        <w:t xml:space="preserve">Formulace tohoto programu vzejde z plánovaného širokého průzkumu potřeb a tento návrh je tedy nutné mít za předběžný. </w:t>
      </w:r>
      <w:r w:rsidR="006117B8">
        <w:t>Program se svým způsobem zaměřuje na odstraňování inovačních bariér pro zavádění inovativních řešení do bezpečnostní praxe.</w:t>
      </w:r>
      <w:r w:rsidR="006117B8" w:rsidRPr="006117B8">
        <w:t xml:space="preserve"> </w:t>
      </w:r>
      <w:r w:rsidR="006117B8">
        <w:t>Nejzásadnějšími z nich jsou mnohdy zcela specifické kvalitativní požadavky na technologie v kombinaci s velmi omezeným trhem, citlivost know-how či dat, která je nutné s řešitelem sdílet nebo striktní nutnost integrace do stávajících systémů uživatele. Tyto požadavky zásadně omezují dostupnost technologií v řadě oblastí, ve kterých inovační potřeby existují. Vlastní vývoj s úzkým zapojením uživatele, tzv. odborného gestora, pomáhá tuto překážku překonat.</w:t>
      </w:r>
    </w:p>
    <w:p w14:paraId="72B302E9" w14:textId="77777777" w:rsidR="000E7F96" w:rsidRDefault="000E7F96" w:rsidP="000E7F96">
      <w:pPr>
        <w:pStyle w:val="Nadpis2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  <w:r>
        <w:t>Doba trvání</w:t>
      </w:r>
    </w:p>
    <w:p w14:paraId="58839C27" w14:textId="2193E12F" w:rsidR="000E7F96" w:rsidRPr="000C61CA" w:rsidRDefault="000E7F96" w:rsidP="000E7F96">
      <w:pPr>
        <w:spacing w:before="120" w:after="120"/>
        <w:jc w:val="both"/>
        <w:rPr>
          <w:rFonts w:cstheme="minorHAnsi"/>
        </w:rPr>
      </w:pPr>
      <w:r w:rsidRPr="000C61CA">
        <w:rPr>
          <w:rFonts w:cstheme="minorHAnsi"/>
        </w:rPr>
        <w:t xml:space="preserve">Termín vyhlášení programu: </w:t>
      </w:r>
      <w:r w:rsidRPr="006A7908">
        <w:rPr>
          <w:rFonts w:cstheme="minorHAnsi"/>
          <w:b/>
        </w:rPr>
        <w:t>1. 1. 20</w:t>
      </w:r>
      <w:r w:rsidR="005131FE">
        <w:rPr>
          <w:rFonts w:cstheme="minorHAnsi"/>
          <w:b/>
        </w:rPr>
        <w:t>2</w:t>
      </w:r>
      <w:r w:rsidR="006117B8">
        <w:rPr>
          <w:rFonts w:cstheme="minorHAnsi"/>
          <w:b/>
        </w:rPr>
        <w:t>8</w:t>
      </w:r>
    </w:p>
    <w:p w14:paraId="4C0A7995" w14:textId="494D5122" w:rsidR="000E7F96" w:rsidRDefault="000E7F96" w:rsidP="000E7F96">
      <w:pPr>
        <w:spacing w:before="120" w:after="120"/>
        <w:jc w:val="both"/>
        <w:rPr>
          <w:rFonts w:cstheme="minorHAnsi"/>
          <w:b/>
        </w:rPr>
      </w:pPr>
      <w:r w:rsidRPr="000C61CA">
        <w:rPr>
          <w:rFonts w:cstheme="minorHAnsi"/>
        </w:rPr>
        <w:t xml:space="preserve">Doba trvání programu: </w:t>
      </w:r>
      <w:r w:rsidR="005131FE">
        <w:rPr>
          <w:rFonts w:cstheme="minorHAnsi"/>
        </w:rPr>
        <w:t>6</w:t>
      </w:r>
      <w:r w:rsidRPr="000C61CA">
        <w:rPr>
          <w:rFonts w:cstheme="minorHAnsi"/>
        </w:rPr>
        <w:t xml:space="preserve"> let, tj. do </w:t>
      </w:r>
      <w:r w:rsidRPr="006A7908">
        <w:rPr>
          <w:rFonts w:cstheme="minorHAnsi"/>
          <w:b/>
        </w:rPr>
        <w:t>31. 12. 20</w:t>
      </w:r>
      <w:r w:rsidR="005131FE">
        <w:rPr>
          <w:rFonts w:cstheme="minorHAnsi"/>
          <w:b/>
        </w:rPr>
        <w:t>3</w:t>
      </w:r>
      <w:r w:rsidR="006117B8">
        <w:rPr>
          <w:rFonts w:cstheme="minorHAnsi"/>
          <w:b/>
        </w:rPr>
        <w:t>3</w:t>
      </w:r>
    </w:p>
    <w:p w14:paraId="362E6D94" w14:textId="77777777" w:rsidR="008251AA" w:rsidRDefault="008251AA" w:rsidP="000E7F96">
      <w:pPr>
        <w:spacing w:before="120" w:after="120"/>
        <w:jc w:val="both"/>
        <w:rPr>
          <w:rFonts w:cstheme="minorHAnsi"/>
        </w:rPr>
      </w:pPr>
    </w:p>
    <w:p w14:paraId="48E714CE" w14:textId="77777777" w:rsidR="000E7F96" w:rsidRDefault="000E7F96" w:rsidP="000E7F96">
      <w:pPr>
        <w:pStyle w:val="Nadpis2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  <w:r>
        <w:lastRenderedPageBreak/>
        <w:t>Celkové výdaje v letech</w:t>
      </w:r>
    </w:p>
    <w:p w14:paraId="64160E35" w14:textId="77777777" w:rsidR="000E7F96" w:rsidRPr="0094281F" w:rsidRDefault="000E7F96" w:rsidP="000E7F96">
      <w:pPr>
        <w:spacing w:before="120" w:after="120"/>
        <w:jc w:val="both"/>
        <w:rPr>
          <w:rFonts w:eastAsia="Times New Roman" w:cstheme="minorHAnsi"/>
        </w:rPr>
      </w:pPr>
      <w:r w:rsidRPr="0094281F">
        <w:rPr>
          <w:rFonts w:eastAsia="Times New Roman" w:cstheme="minorHAnsi"/>
        </w:rPr>
        <w:t>Předpokládané souhrnné finanční ukazatele Programu (v tis. Kč):</w:t>
      </w:r>
    </w:p>
    <w:tbl>
      <w:tblPr>
        <w:tblStyle w:val="Barevntabulkasmkou7zvraznn21"/>
        <w:tblW w:w="5000" w:type="pct"/>
        <w:tblInd w:w="-5" w:type="dxa"/>
        <w:tblLook w:val="04A0" w:firstRow="1" w:lastRow="0" w:firstColumn="1" w:lastColumn="0" w:noHBand="0" w:noVBand="1"/>
      </w:tblPr>
      <w:tblGrid>
        <w:gridCol w:w="1669"/>
        <w:gridCol w:w="998"/>
        <w:gridCol w:w="996"/>
        <w:gridCol w:w="998"/>
        <w:gridCol w:w="998"/>
        <w:gridCol w:w="1078"/>
        <w:gridCol w:w="1170"/>
        <w:gridCol w:w="1165"/>
      </w:tblGrid>
      <w:tr w:rsidR="006117B8" w:rsidRPr="0094281F" w14:paraId="18347BDC" w14:textId="77777777" w:rsidTr="002B220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8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20" w:type="pct"/>
            <w:noWrap/>
            <w:vAlign w:val="center"/>
            <w:hideMark/>
          </w:tcPr>
          <w:p w14:paraId="3D2BEC42" w14:textId="77777777" w:rsidR="006117B8" w:rsidRPr="00870909" w:rsidRDefault="006117B8" w:rsidP="008251AA">
            <w:pPr>
              <w:jc w:val="center"/>
              <w:rPr>
                <w:rFonts w:eastAsia="Times New Roman" w:cstheme="minorHAnsi"/>
                <w:b w:val="0"/>
              </w:rPr>
            </w:pPr>
          </w:p>
        </w:tc>
        <w:tc>
          <w:tcPr>
            <w:tcW w:w="550" w:type="pct"/>
            <w:noWrap/>
            <w:vAlign w:val="center"/>
            <w:hideMark/>
          </w:tcPr>
          <w:p w14:paraId="5A5AA26D" w14:textId="11F7C62C" w:rsidR="006117B8" w:rsidRPr="00870909" w:rsidRDefault="006117B8" w:rsidP="008251A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 w:val="0"/>
                <w:color w:val="000000"/>
              </w:rPr>
            </w:pPr>
            <w:r w:rsidRPr="00870909">
              <w:rPr>
                <w:rFonts w:eastAsia="Times New Roman" w:cstheme="minorHAnsi"/>
                <w:color w:val="000000"/>
              </w:rPr>
              <w:t>20</w:t>
            </w:r>
            <w:r>
              <w:rPr>
                <w:rFonts w:eastAsia="Times New Roman" w:cstheme="minorHAnsi"/>
                <w:color w:val="000000"/>
              </w:rPr>
              <w:t>28</w:t>
            </w:r>
          </w:p>
        </w:tc>
        <w:tc>
          <w:tcPr>
            <w:tcW w:w="549" w:type="pct"/>
            <w:noWrap/>
            <w:vAlign w:val="center"/>
            <w:hideMark/>
          </w:tcPr>
          <w:p w14:paraId="62160F48" w14:textId="10741B9F" w:rsidR="006117B8" w:rsidRPr="00870909" w:rsidRDefault="006117B8" w:rsidP="008251A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 w:val="0"/>
                <w:color w:val="000000"/>
              </w:rPr>
            </w:pPr>
            <w:r w:rsidRPr="00870909">
              <w:rPr>
                <w:rFonts w:eastAsia="Times New Roman" w:cstheme="minorHAnsi"/>
                <w:color w:val="000000"/>
              </w:rPr>
              <w:t>20</w:t>
            </w:r>
            <w:r>
              <w:rPr>
                <w:rFonts w:eastAsia="Times New Roman" w:cstheme="minorHAnsi"/>
                <w:color w:val="000000"/>
              </w:rPr>
              <w:t>29</w:t>
            </w:r>
          </w:p>
        </w:tc>
        <w:tc>
          <w:tcPr>
            <w:tcW w:w="550" w:type="pct"/>
            <w:noWrap/>
            <w:vAlign w:val="center"/>
            <w:hideMark/>
          </w:tcPr>
          <w:p w14:paraId="03551547" w14:textId="2C7427B1" w:rsidR="006117B8" w:rsidRPr="00870909" w:rsidRDefault="006117B8" w:rsidP="008251A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 w:val="0"/>
                <w:color w:val="000000"/>
              </w:rPr>
            </w:pPr>
            <w:r w:rsidRPr="00870909">
              <w:rPr>
                <w:rFonts w:eastAsia="Times New Roman" w:cstheme="minorHAnsi"/>
                <w:color w:val="000000"/>
              </w:rPr>
              <w:t>20</w:t>
            </w:r>
            <w:r>
              <w:rPr>
                <w:rFonts w:eastAsia="Times New Roman" w:cstheme="minorHAnsi"/>
                <w:color w:val="000000"/>
              </w:rPr>
              <w:t>30</w:t>
            </w:r>
          </w:p>
        </w:tc>
        <w:tc>
          <w:tcPr>
            <w:tcW w:w="550" w:type="pct"/>
            <w:noWrap/>
            <w:vAlign w:val="center"/>
            <w:hideMark/>
          </w:tcPr>
          <w:p w14:paraId="721DE948" w14:textId="10F13D83" w:rsidR="006117B8" w:rsidRPr="00870909" w:rsidRDefault="006117B8" w:rsidP="008251A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 w:val="0"/>
                <w:color w:val="000000"/>
              </w:rPr>
            </w:pPr>
            <w:r w:rsidRPr="00870909">
              <w:rPr>
                <w:rFonts w:eastAsia="Times New Roman" w:cstheme="minorHAnsi"/>
                <w:color w:val="000000"/>
              </w:rPr>
              <w:t>20</w:t>
            </w:r>
            <w:r>
              <w:rPr>
                <w:rFonts w:eastAsia="Times New Roman" w:cstheme="minorHAnsi"/>
                <w:color w:val="000000"/>
              </w:rPr>
              <w:t>31</w:t>
            </w:r>
          </w:p>
        </w:tc>
        <w:tc>
          <w:tcPr>
            <w:tcW w:w="594" w:type="pct"/>
            <w:noWrap/>
            <w:vAlign w:val="center"/>
            <w:hideMark/>
          </w:tcPr>
          <w:p w14:paraId="008B5A9C" w14:textId="2F6206E1" w:rsidR="006117B8" w:rsidRPr="00870909" w:rsidRDefault="006117B8" w:rsidP="008251A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 w:val="0"/>
                <w:color w:val="000000"/>
              </w:rPr>
            </w:pPr>
            <w:r w:rsidRPr="00870909">
              <w:rPr>
                <w:rFonts w:eastAsia="Times New Roman" w:cstheme="minorHAnsi"/>
                <w:color w:val="000000"/>
              </w:rPr>
              <w:t>20</w:t>
            </w:r>
            <w:r>
              <w:rPr>
                <w:rFonts w:eastAsia="Times New Roman" w:cstheme="minorHAnsi"/>
                <w:color w:val="000000"/>
              </w:rPr>
              <w:t>32</w:t>
            </w:r>
          </w:p>
        </w:tc>
        <w:tc>
          <w:tcPr>
            <w:tcW w:w="645" w:type="pct"/>
            <w:vAlign w:val="center"/>
          </w:tcPr>
          <w:p w14:paraId="47E62B11" w14:textId="62098BDC" w:rsidR="006117B8" w:rsidRPr="00870909" w:rsidRDefault="006117B8" w:rsidP="008251A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</w:rPr>
            </w:pPr>
            <w:r>
              <w:rPr>
                <w:rFonts w:eastAsia="Times New Roman" w:cstheme="minorHAnsi"/>
                <w:color w:val="000000"/>
              </w:rPr>
              <w:t>2033</w:t>
            </w:r>
          </w:p>
        </w:tc>
        <w:tc>
          <w:tcPr>
            <w:tcW w:w="643" w:type="pct"/>
            <w:noWrap/>
            <w:vAlign w:val="center"/>
            <w:hideMark/>
          </w:tcPr>
          <w:p w14:paraId="49FA08E8" w14:textId="42120211" w:rsidR="006117B8" w:rsidRPr="00870909" w:rsidRDefault="006117B8" w:rsidP="008251A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 w:val="0"/>
                <w:color w:val="000000"/>
              </w:rPr>
            </w:pPr>
            <w:r w:rsidRPr="00870909">
              <w:rPr>
                <w:rFonts w:eastAsia="Times New Roman" w:cstheme="minorHAnsi"/>
                <w:color w:val="000000"/>
              </w:rPr>
              <w:t>Celkem</w:t>
            </w:r>
          </w:p>
        </w:tc>
      </w:tr>
      <w:tr w:rsidR="006117B8" w:rsidRPr="0094281F" w14:paraId="178CD0E0" w14:textId="77777777" w:rsidTr="002B220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0" w:type="pct"/>
            <w:noWrap/>
            <w:vAlign w:val="center"/>
          </w:tcPr>
          <w:p w14:paraId="2E39D4DD" w14:textId="0A140323" w:rsidR="006117B8" w:rsidRPr="00870909" w:rsidRDefault="006117B8" w:rsidP="008251AA">
            <w:pPr>
              <w:jc w:val="center"/>
              <w:rPr>
                <w:rFonts w:eastAsia="Times New Roman" w:cstheme="minorHAnsi"/>
                <w:b/>
              </w:rPr>
            </w:pPr>
            <w:r>
              <w:rPr>
                <w:rFonts w:eastAsia="Times New Roman" w:cstheme="minorHAnsi"/>
                <w:b/>
              </w:rPr>
              <w:t>Výdaje SR</w:t>
            </w:r>
          </w:p>
        </w:tc>
        <w:tc>
          <w:tcPr>
            <w:tcW w:w="550" w:type="pct"/>
            <w:noWrap/>
            <w:vAlign w:val="center"/>
          </w:tcPr>
          <w:p w14:paraId="727B1798" w14:textId="58037144" w:rsidR="006117B8" w:rsidRPr="00870909" w:rsidRDefault="006117B8" w:rsidP="008251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</w:rPr>
            </w:pPr>
            <w:r>
              <w:rPr>
                <w:rFonts w:eastAsia="Times New Roman" w:cstheme="minorHAnsi"/>
                <w:color w:val="000000"/>
              </w:rPr>
              <w:t>100 000</w:t>
            </w:r>
          </w:p>
        </w:tc>
        <w:tc>
          <w:tcPr>
            <w:tcW w:w="549" w:type="pct"/>
            <w:noWrap/>
            <w:vAlign w:val="center"/>
          </w:tcPr>
          <w:p w14:paraId="77450D23" w14:textId="7C5B1AC6" w:rsidR="006117B8" w:rsidRPr="00870909" w:rsidRDefault="006117B8" w:rsidP="008251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</w:rPr>
            </w:pPr>
            <w:r>
              <w:rPr>
                <w:rFonts w:eastAsia="Times New Roman" w:cstheme="minorHAnsi"/>
                <w:color w:val="000000"/>
              </w:rPr>
              <w:t>1</w:t>
            </w:r>
            <w:r w:rsidR="00EC6E39">
              <w:rPr>
                <w:rFonts w:eastAsia="Times New Roman" w:cstheme="minorHAnsi"/>
                <w:color w:val="000000"/>
              </w:rPr>
              <w:t>5</w:t>
            </w:r>
            <w:r>
              <w:rPr>
                <w:rFonts w:eastAsia="Times New Roman" w:cstheme="minorHAnsi"/>
                <w:color w:val="000000"/>
              </w:rPr>
              <w:t>0 000</w:t>
            </w:r>
          </w:p>
        </w:tc>
        <w:tc>
          <w:tcPr>
            <w:tcW w:w="550" w:type="pct"/>
            <w:noWrap/>
            <w:vAlign w:val="center"/>
          </w:tcPr>
          <w:p w14:paraId="2F15FFB6" w14:textId="1795158D" w:rsidR="006117B8" w:rsidRPr="00870909" w:rsidRDefault="008251AA" w:rsidP="008251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</w:rPr>
            </w:pPr>
            <w:r>
              <w:rPr>
                <w:rFonts w:eastAsia="Times New Roman" w:cstheme="minorHAnsi"/>
                <w:color w:val="000000"/>
              </w:rPr>
              <w:t>1</w:t>
            </w:r>
            <w:r w:rsidR="00EC6E39">
              <w:rPr>
                <w:rFonts w:eastAsia="Times New Roman" w:cstheme="minorHAnsi"/>
                <w:color w:val="000000"/>
              </w:rPr>
              <w:t>7</w:t>
            </w:r>
            <w:r w:rsidR="006117B8">
              <w:rPr>
                <w:rFonts w:eastAsia="Times New Roman" w:cstheme="minorHAnsi"/>
                <w:color w:val="000000"/>
              </w:rPr>
              <w:t>0 000</w:t>
            </w:r>
          </w:p>
        </w:tc>
        <w:tc>
          <w:tcPr>
            <w:tcW w:w="550" w:type="pct"/>
            <w:noWrap/>
            <w:vAlign w:val="center"/>
          </w:tcPr>
          <w:p w14:paraId="79FFB6AA" w14:textId="7937F941" w:rsidR="006117B8" w:rsidRPr="00870909" w:rsidRDefault="008251AA" w:rsidP="008251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</w:rPr>
            </w:pPr>
            <w:r>
              <w:rPr>
                <w:rFonts w:eastAsia="Times New Roman" w:cstheme="minorHAnsi"/>
                <w:color w:val="000000"/>
              </w:rPr>
              <w:t>1</w:t>
            </w:r>
            <w:r w:rsidR="00EC6E39">
              <w:rPr>
                <w:rFonts w:eastAsia="Times New Roman" w:cstheme="minorHAnsi"/>
                <w:color w:val="000000"/>
              </w:rPr>
              <w:t>7</w:t>
            </w:r>
            <w:r w:rsidR="006117B8">
              <w:rPr>
                <w:rFonts w:eastAsia="Times New Roman" w:cstheme="minorHAnsi"/>
                <w:color w:val="000000"/>
              </w:rPr>
              <w:t>0 000</w:t>
            </w:r>
          </w:p>
        </w:tc>
        <w:tc>
          <w:tcPr>
            <w:tcW w:w="594" w:type="pct"/>
            <w:noWrap/>
            <w:vAlign w:val="center"/>
          </w:tcPr>
          <w:p w14:paraId="620F97E2" w14:textId="19444DAD" w:rsidR="006117B8" w:rsidRPr="00870909" w:rsidRDefault="008251AA" w:rsidP="008251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</w:rPr>
            </w:pPr>
            <w:r>
              <w:rPr>
                <w:rFonts w:eastAsia="Times New Roman" w:cstheme="minorHAnsi"/>
                <w:color w:val="000000"/>
              </w:rPr>
              <w:t>1</w:t>
            </w:r>
            <w:r w:rsidR="00EC6E39">
              <w:rPr>
                <w:rFonts w:eastAsia="Times New Roman" w:cstheme="minorHAnsi"/>
                <w:color w:val="000000"/>
              </w:rPr>
              <w:t>5</w:t>
            </w:r>
            <w:r w:rsidR="006117B8">
              <w:rPr>
                <w:rFonts w:eastAsia="Times New Roman" w:cstheme="minorHAnsi"/>
                <w:color w:val="000000"/>
              </w:rPr>
              <w:t>0 000</w:t>
            </w:r>
          </w:p>
        </w:tc>
        <w:tc>
          <w:tcPr>
            <w:tcW w:w="645" w:type="pct"/>
            <w:vAlign w:val="center"/>
          </w:tcPr>
          <w:p w14:paraId="2FB616D3" w14:textId="6B57CB71" w:rsidR="006117B8" w:rsidRDefault="008251AA" w:rsidP="008251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</w:rPr>
            </w:pPr>
            <w:r>
              <w:rPr>
                <w:rFonts w:eastAsia="Times New Roman" w:cstheme="minorHAnsi"/>
                <w:color w:val="000000"/>
              </w:rPr>
              <w:t>1</w:t>
            </w:r>
            <w:r w:rsidR="00EC6E39">
              <w:rPr>
                <w:rFonts w:eastAsia="Times New Roman" w:cstheme="minorHAnsi"/>
                <w:color w:val="000000"/>
              </w:rPr>
              <w:t>5</w:t>
            </w:r>
            <w:r>
              <w:rPr>
                <w:rFonts w:eastAsia="Times New Roman" w:cstheme="minorHAnsi"/>
                <w:color w:val="000000"/>
              </w:rPr>
              <w:t>0 000</w:t>
            </w:r>
          </w:p>
        </w:tc>
        <w:tc>
          <w:tcPr>
            <w:tcW w:w="643" w:type="pct"/>
            <w:noWrap/>
            <w:vAlign w:val="center"/>
          </w:tcPr>
          <w:p w14:paraId="0B42AA52" w14:textId="146BB63B" w:rsidR="006117B8" w:rsidRPr="00870909" w:rsidRDefault="00EC6E39" w:rsidP="008251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</w:rPr>
            </w:pPr>
            <w:r>
              <w:rPr>
                <w:rFonts w:eastAsia="Times New Roman" w:cstheme="minorHAnsi"/>
                <w:color w:val="000000"/>
              </w:rPr>
              <w:t>890 000</w:t>
            </w:r>
          </w:p>
        </w:tc>
      </w:tr>
      <w:tr w:rsidR="008251AA" w:rsidRPr="00B81F1F" w14:paraId="6243735F" w14:textId="77777777" w:rsidTr="002B2201">
        <w:trPr>
          <w:trHeight w:val="3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0" w:type="pct"/>
            <w:noWrap/>
            <w:vAlign w:val="center"/>
            <w:hideMark/>
          </w:tcPr>
          <w:p w14:paraId="29015CF8" w14:textId="0898DA50" w:rsidR="008251AA" w:rsidRPr="008251AA" w:rsidRDefault="008251AA" w:rsidP="008251AA">
            <w:pPr>
              <w:jc w:val="center"/>
              <w:rPr>
                <w:rFonts w:eastAsia="Times New Roman" w:cstheme="minorHAnsi"/>
                <w:b/>
                <w:color w:val="000000"/>
              </w:rPr>
            </w:pPr>
            <w:r w:rsidRPr="008251AA">
              <w:rPr>
                <w:rFonts w:eastAsia="Times New Roman" w:cstheme="minorHAnsi"/>
                <w:b/>
                <w:color w:val="000000"/>
              </w:rPr>
              <w:t>Celkem</w:t>
            </w:r>
          </w:p>
        </w:tc>
        <w:tc>
          <w:tcPr>
            <w:tcW w:w="550" w:type="pct"/>
            <w:noWrap/>
            <w:vAlign w:val="center"/>
          </w:tcPr>
          <w:p w14:paraId="3EC56144" w14:textId="183BBE55" w:rsidR="008251AA" w:rsidRPr="008251AA" w:rsidRDefault="008251AA" w:rsidP="008251A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color w:val="000000"/>
              </w:rPr>
            </w:pPr>
            <w:r w:rsidRPr="008251AA">
              <w:rPr>
                <w:rFonts w:eastAsia="Times New Roman" w:cstheme="minorHAnsi"/>
                <w:b/>
                <w:color w:val="000000"/>
              </w:rPr>
              <w:t>100 000</w:t>
            </w:r>
          </w:p>
        </w:tc>
        <w:tc>
          <w:tcPr>
            <w:tcW w:w="549" w:type="pct"/>
            <w:noWrap/>
            <w:vAlign w:val="center"/>
          </w:tcPr>
          <w:p w14:paraId="35313E7A" w14:textId="0A763148" w:rsidR="008251AA" w:rsidRPr="008251AA" w:rsidRDefault="008251AA" w:rsidP="008251A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color w:val="000000"/>
              </w:rPr>
            </w:pPr>
            <w:r w:rsidRPr="008251AA">
              <w:rPr>
                <w:rFonts w:eastAsia="Times New Roman" w:cstheme="minorHAnsi"/>
                <w:b/>
                <w:color w:val="000000"/>
              </w:rPr>
              <w:t>100 000</w:t>
            </w:r>
          </w:p>
        </w:tc>
        <w:tc>
          <w:tcPr>
            <w:tcW w:w="550" w:type="pct"/>
            <w:noWrap/>
            <w:vAlign w:val="center"/>
          </w:tcPr>
          <w:p w14:paraId="3D36A0D1" w14:textId="3A9B5687" w:rsidR="008251AA" w:rsidRPr="008251AA" w:rsidRDefault="008251AA" w:rsidP="008251A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color w:val="000000"/>
              </w:rPr>
            </w:pPr>
            <w:r w:rsidRPr="008251AA">
              <w:rPr>
                <w:rFonts w:eastAsia="Times New Roman" w:cstheme="minorHAnsi"/>
                <w:b/>
                <w:color w:val="000000"/>
              </w:rPr>
              <w:t>150 000</w:t>
            </w:r>
          </w:p>
        </w:tc>
        <w:tc>
          <w:tcPr>
            <w:tcW w:w="550" w:type="pct"/>
            <w:noWrap/>
            <w:vAlign w:val="center"/>
          </w:tcPr>
          <w:p w14:paraId="73C44B3D" w14:textId="6D5A188A" w:rsidR="008251AA" w:rsidRPr="008251AA" w:rsidRDefault="008251AA" w:rsidP="008251A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color w:val="000000"/>
              </w:rPr>
            </w:pPr>
            <w:r w:rsidRPr="008251AA">
              <w:rPr>
                <w:rFonts w:eastAsia="Times New Roman" w:cstheme="minorHAnsi"/>
                <w:b/>
                <w:color w:val="000000"/>
              </w:rPr>
              <w:t>150 000</w:t>
            </w:r>
          </w:p>
        </w:tc>
        <w:tc>
          <w:tcPr>
            <w:tcW w:w="594" w:type="pct"/>
            <w:noWrap/>
            <w:vAlign w:val="center"/>
          </w:tcPr>
          <w:p w14:paraId="4C8750C8" w14:textId="68A1647D" w:rsidR="008251AA" w:rsidRPr="008251AA" w:rsidRDefault="008251AA" w:rsidP="008251A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color w:val="000000"/>
              </w:rPr>
            </w:pPr>
            <w:r w:rsidRPr="008251AA">
              <w:rPr>
                <w:rFonts w:eastAsia="Times New Roman" w:cstheme="minorHAnsi"/>
                <w:b/>
                <w:color w:val="000000"/>
              </w:rPr>
              <w:t>150 000</w:t>
            </w:r>
          </w:p>
        </w:tc>
        <w:tc>
          <w:tcPr>
            <w:tcW w:w="645" w:type="pct"/>
            <w:vAlign w:val="center"/>
          </w:tcPr>
          <w:p w14:paraId="5FE84CFD" w14:textId="1D4E4F0F" w:rsidR="008251AA" w:rsidRPr="008251AA" w:rsidRDefault="008251AA" w:rsidP="008251A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color w:val="000000"/>
              </w:rPr>
            </w:pPr>
            <w:r w:rsidRPr="008251AA">
              <w:rPr>
                <w:rFonts w:eastAsia="Times New Roman" w:cstheme="minorHAnsi"/>
                <w:b/>
                <w:color w:val="000000"/>
              </w:rPr>
              <w:t>100 000</w:t>
            </w:r>
          </w:p>
        </w:tc>
        <w:tc>
          <w:tcPr>
            <w:tcW w:w="643" w:type="pct"/>
            <w:noWrap/>
            <w:vAlign w:val="center"/>
          </w:tcPr>
          <w:p w14:paraId="0A00F854" w14:textId="5199DAAF" w:rsidR="008251AA" w:rsidRPr="00B81F1F" w:rsidRDefault="00EC6E39" w:rsidP="008251A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color w:val="000000"/>
              </w:rPr>
            </w:pPr>
            <w:r>
              <w:rPr>
                <w:rFonts w:eastAsia="Times New Roman" w:cstheme="minorHAnsi"/>
                <w:b/>
                <w:color w:val="000000"/>
              </w:rPr>
              <w:t>890 000</w:t>
            </w:r>
          </w:p>
        </w:tc>
      </w:tr>
    </w:tbl>
    <w:p w14:paraId="2B5463F0" w14:textId="21A075D7" w:rsidR="000E7F96" w:rsidRPr="0094281F" w:rsidRDefault="000E7F96" w:rsidP="000E7F96">
      <w:pPr>
        <w:jc w:val="both"/>
        <w:rPr>
          <w:rFonts w:eastAsia="Times New Roman" w:cstheme="minorHAnsi"/>
        </w:rPr>
      </w:pPr>
      <w:r w:rsidRPr="0094281F">
        <w:rPr>
          <w:rFonts w:eastAsia="Times New Roman" w:cstheme="minorHAnsi"/>
        </w:rPr>
        <w:t xml:space="preserve">Uvedený přehled obsahuje návrh rozložení výdajů, přičemž jde o </w:t>
      </w:r>
      <w:r w:rsidR="008A4D5A">
        <w:rPr>
          <w:rFonts w:eastAsia="Times New Roman" w:cstheme="minorHAnsi"/>
        </w:rPr>
        <w:t>informaci</w:t>
      </w:r>
      <w:r w:rsidRPr="0094281F">
        <w:rPr>
          <w:rFonts w:eastAsia="Times New Roman" w:cstheme="minorHAnsi"/>
        </w:rPr>
        <w:t xml:space="preserve"> orientační, podléhající úpravě podle ex-ante hodnocení a studie absorpční kapacity. </w:t>
      </w:r>
      <w:r w:rsidR="008251AA">
        <w:rPr>
          <w:rFonts w:eastAsia="Times New Roman" w:cstheme="minorHAnsi"/>
        </w:rPr>
        <w:t xml:space="preserve">Návrh výdajů respektuje zkušenosti poskytovatele s předchozím programovým nástrojem. </w:t>
      </w:r>
    </w:p>
    <w:p w14:paraId="5F8AADBA" w14:textId="77777777" w:rsidR="000E7F96" w:rsidRDefault="000E7F96" w:rsidP="000E7F96">
      <w:pPr>
        <w:pStyle w:val="Nadpis2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  <w:r>
        <w:t>Intenzita podpory</w:t>
      </w:r>
    </w:p>
    <w:p w14:paraId="6637939B" w14:textId="6CE932C3" w:rsidR="00971670" w:rsidRDefault="008251AA" w:rsidP="00F1215B">
      <w:pPr>
        <w:jc w:val="both"/>
      </w:pPr>
      <w:r>
        <w:t xml:space="preserve">Podíl výdajů státního rozpočtu na celkových výdajích reflektuje způsob výběru projektů formou veřejných zakázek, jejichž uznané náklady budou hrazeny v plné výši, tzn. nejvyšší povolená intenzita podpory je 100 %. </w:t>
      </w:r>
      <w:r w:rsidR="000E7F96">
        <w:t xml:space="preserve">Nejvyšší povolená intenzita podpory pro jednotlivé typy podpořených organizací bude určena v souladu s </w:t>
      </w:r>
      <w:r w:rsidR="00D30E57" w:rsidRPr="001D7311">
        <w:rPr>
          <w:rFonts w:eastAsia="Calibri" w:cs="Times New Roman"/>
        </w:rPr>
        <w:t>Nařízení</w:t>
      </w:r>
      <w:r w:rsidR="00D30E57">
        <w:rPr>
          <w:rFonts w:eastAsia="Calibri" w:cs="Times New Roman"/>
        </w:rPr>
        <w:t>m</w:t>
      </w:r>
      <w:r w:rsidR="00D30E57" w:rsidRPr="001D7311">
        <w:rPr>
          <w:rFonts w:eastAsia="Calibri" w:cs="Times New Roman"/>
        </w:rPr>
        <w:t xml:space="preserve"> Komise č. 651/2014</w:t>
      </w:r>
      <w:r w:rsidR="000E7F96">
        <w:t>,</w:t>
      </w:r>
      <w:r w:rsidR="00786848">
        <w:t xml:space="preserve"> včetně bonifikací za účinnou spolupráci,</w:t>
      </w:r>
      <w:r w:rsidR="000E7F96">
        <w:t xml:space="preserve"> pro kategorie aktivit průmyslový výzkum a experimentální vývoj nebo inovace, podle převládajícího typu aktivity v projektu. </w:t>
      </w:r>
    </w:p>
    <w:sectPr w:rsidR="0097167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42F97D" w14:textId="77777777" w:rsidR="00AB4535" w:rsidRDefault="00AB4535" w:rsidP="000E7F96">
      <w:pPr>
        <w:spacing w:before="0" w:after="0" w:line="240" w:lineRule="auto"/>
      </w:pPr>
      <w:r>
        <w:separator/>
      </w:r>
    </w:p>
  </w:endnote>
  <w:endnote w:type="continuationSeparator" w:id="0">
    <w:p w14:paraId="5204C560" w14:textId="77777777" w:rsidR="00AB4535" w:rsidRDefault="00AB4535" w:rsidP="000E7F96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ABD25C" w14:textId="77777777" w:rsidR="00AB4535" w:rsidRDefault="00AB4535" w:rsidP="000E7F96">
      <w:pPr>
        <w:spacing w:before="0" w:after="0" w:line="240" w:lineRule="auto"/>
      </w:pPr>
      <w:r>
        <w:separator/>
      </w:r>
    </w:p>
  </w:footnote>
  <w:footnote w:type="continuationSeparator" w:id="0">
    <w:p w14:paraId="25C4F409" w14:textId="77777777" w:rsidR="00AB4535" w:rsidRDefault="00AB4535" w:rsidP="000E7F96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1820D5"/>
    <w:multiLevelType w:val="hybridMultilevel"/>
    <w:tmpl w:val="9A0650C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518139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7F96"/>
    <w:rsid w:val="00001D16"/>
    <w:rsid w:val="00050825"/>
    <w:rsid w:val="00072F1D"/>
    <w:rsid w:val="00077509"/>
    <w:rsid w:val="000B1902"/>
    <w:rsid w:val="000B3B5A"/>
    <w:rsid w:val="000C3D75"/>
    <w:rsid w:val="000C6866"/>
    <w:rsid w:val="000E7F96"/>
    <w:rsid w:val="00112EE7"/>
    <w:rsid w:val="001136A7"/>
    <w:rsid w:val="001246C9"/>
    <w:rsid w:val="001353EC"/>
    <w:rsid w:val="0014465F"/>
    <w:rsid w:val="00151EDC"/>
    <w:rsid w:val="00153895"/>
    <w:rsid w:val="001B7FAC"/>
    <w:rsid w:val="00215F86"/>
    <w:rsid w:val="0022294A"/>
    <w:rsid w:val="0023178F"/>
    <w:rsid w:val="00240BA5"/>
    <w:rsid w:val="00262E31"/>
    <w:rsid w:val="00265EA5"/>
    <w:rsid w:val="002A2BC3"/>
    <w:rsid w:val="002B2201"/>
    <w:rsid w:val="002E7366"/>
    <w:rsid w:val="002F62CC"/>
    <w:rsid w:val="00322F54"/>
    <w:rsid w:val="003531B5"/>
    <w:rsid w:val="00372238"/>
    <w:rsid w:val="003B42C8"/>
    <w:rsid w:val="003C5229"/>
    <w:rsid w:val="003C7833"/>
    <w:rsid w:val="003D514B"/>
    <w:rsid w:val="00414C3E"/>
    <w:rsid w:val="004243CB"/>
    <w:rsid w:val="00451A09"/>
    <w:rsid w:val="00484F5F"/>
    <w:rsid w:val="00491D57"/>
    <w:rsid w:val="004B5709"/>
    <w:rsid w:val="004E35D7"/>
    <w:rsid w:val="004F598F"/>
    <w:rsid w:val="00505DCF"/>
    <w:rsid w:val="005131FE"/>
    <w:rsid w:val="00516F6A"/>
    <w:rsid w:val="00520DEE"/>
    <w:rsid w:val="00554A4F"/>
    <w:rsid w:val="005B5B55"/>
    <w:rsid w:val="005E79ED"/>
    <w:rsid w:val="006117B8"/>
    <w:rsid w:val="00637D07"/>
    <w:rsid w:val="00642749"/>
    <w:rsid w:val="00653192"/>
    <w:rsid w:val="00680E06"/>
    <w:rsid w:val="006B3DB5"/>
    <w:rsid w:val="006C523E"/>
    <w:rsid w:val="007205B9"/>
    <w:rsid w:val="00726D2D"/>
    <w:rsid w:val="00726FE7"/>
    <w:rsid w:val="00757639"/>
    <w:rsid w:val="00762155"/>
    <w:rsid w:val="00771BA2"/>
    <w:rsid w:val="00786848"/>
    <w:rsid w:val="007C34AD"/>
    <w:rsid w:val="007F78C3"/>
    <w:rsid w:val="008251AA"/>
    <w:rsid w:val="00841798"/>
    <w:rsid w:val="00881BC1"/>
    <w:rsid w:val="00885915"/>
    <w:rsid w:val="00891ACD"/>
    <w:rsid w:val="00896947"/>
    <w:rsid w:val="008A4D5A"/>
    <w:rsid w:val="008C7115"/>
    <w:rsid w:val="008E51BB"/>
    <w:rsid w:val="0091446E"/>
    <w:rsid w:val="0094626F"/>
    <w:rsid w:val="00971670"/>
    <w:rsid w:val="00977FB7"/>
    <w:rsid w:val="009B3404"/>
    <w:rsid w:val="009F1DB4"/>
    <w:rsid w:val="00A73971"/>
    <w:rsid w:val="00AA5EB9"/>
    <w:rsid w:val="00AB4535"/>
    <w:rsid w:val="00AC4999"/>
    <w:rsid w:val="00B23C97"/>
    <w:rsid w:val="00B55DF5"/>
    <w:rsid w:val="00B63036"/>
    <w:rsid w:val="00B670EB"/>
    <w:rsid w:val="00B81F1F"/>
    <w:rsid w:val="00BC111A"/>
    <w:rsid w:val="00BC20BE"/>
    <w:rsid w:val="00C30EEB"/>
    <w:rsid w:val="00C325BE"/>
    <w:rsid w:val="00C860F4"/>
    <w:rsid w:val="00C91F84"/>
    <w:rsid w:val="00C93F6D"/>
    <w:rsid w:val="00D05A12"/>
    <w:rsid w:val="00D30E57"/>
    <w:rsid w:val="00D402C0"/>
    <w:rsid w:val="00D507AD"/>
    <w:rsid w:val="00D52FB0"/>
    <w:rsid w:val="00D6305B"/>
    <w:rsid w:val="00D807AD"/>
    <w:rsid w:val="00DC6CA3"/>
    <w:rsid w:val="00DD348C"/>
    <w:rsid w:val="00E2505B"/>
    <w:rsid w:val="00EC3285"/>
    <w:rsid w:val="00EC6735"/>
    <w:rsid w:val="00EC6E39"/>
    <w:rsid w:val="00ED7E1B"/>
    <w:rsid w:val="00F06750"/>
    <w:rsid w:val="00F06A72"/>
    <w:rsid w:val="00F06CA9"/>
    <w:rsid w:val="00F1215B"/>
    <w:rsid w:val="00F274B8"/>
    <w:rsid w:val="00F52CF7"/>
    <w:rsid w:val="00F641D1"/>
    <w:rsid w:val="00F7201F"/>
    <w:rsid w:val="00F726AB"/>
    <w:rsid w:val="00F72A78"/>
    <w:rsid w:val="00F87BE0"/>
    <w:rsid w:val="00FC3297"/>
    <w:rsid w:val="00FE5D05"/>
    <w:rsid w:val="00FF6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1CBC03"/>
  <w15:docId w15:val="{3E86D070-213C-4AC3-89F9-0E92F4D708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cs-CZ" w:eastAsia="en-US" w:bidi="ar-SA"/>
      </w:rPr>
    </w:rPrDefault>
    <w:pPrDefault>
      <w:pPr>
        <w:spacing w:before="100"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0E7F96"/>
  </w:style>
  <w:style w:type="paragraph" w:styleId="Nadpis1">
    <w:name w:val="heading 1"/>
    <w:basedOn w:val="Normln"/>
    <w:next w:val="Normln"/>
    <w:link w:val="Nadpis1Char"/>
    <w:uiPriority w:val="9"/>
    <w:qFormat/>
    <w:rsid w:val="000E7F96"/>
    <w:pPr>
      <w:pBdr>
        <w:top w:val="single" w:sz="24" w:space="0" w:color="3494BA" w:themeColor="accent1"/>
        <w:left w:val="single" w:sz="24" w:space="0" w:color="3494BA" w:themeColor="accent1"/>
        <w:bottom w:val="single" w:sz="24" w:space="0" w:color="3494BA" w:themeColor="accent1"/>
        <w:right w:val="single" w:sz="24" w:space="0" w:color="3494BA" w:themeColor="accent1"/>
      </w:pBdr>
      <w:shd w:val="clear" w:color="auto" w:fill="3494BA" w:themeFill="accent1"/>
      <w:spacing w:after="0"/>
      <w:outlineLvl w:val="0"/>
    </w:pPr>
    <w:rPr>
      <w:caps/>
      <w:color w:val="FFFFFF" w:themeColor="background1"/>
      <w:spacing w:val="15"/>
      <w:sz w:val="22"/>
      <w:szCs w:val="22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0E7F96"/>
    <w:pPr>
      <w:pBdr>
        <w:top w:val="single" w:sz="24" w:space="0" w:color="D4EAF3" w:themeColor="accent1" w:themeTint="33"/>
        <w:left w:val="single" w:sz="24" w:space="0" w:color="D4EAF3" w:themeColor="accent1" w:themeTint="33"/>
        <w:bottom w:val="single" w:sz="24" w:space="0" w:color="D4EAF3" w:themeColor="accent1" w:themeTint="33"/>
        <w:right w:val="single" w:sz="24" w:space="0" w:color="D4EAF3" w:themeColor="accent1" w:themeTint="33"/>
      </w:pBdr>
      <w:shd w:val="clear" w:color="auto" w:fill="D4EAF3" w:themeFill="accent1" w:themeFillTint="33"/>
      <w:spacing w:after="0"/>
      <w:outlineLvl w:val="1"/>
    </w:pPr>
    <w:rPr>
      <w:caps/>
      <w:spacing w:val="15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0E7F96"/>
    <w:pPr>
      <w:pBdr>
        <w:top w:val="single" w:sz="6" w:space="2" w:color="3494BA" w:themeColor="accent1"/>
      </w:pBdr>
      <w:spacing w:before="300" w:after="0"/>
      <w:outlineLvl w:val="2"/>
    </w:pPr>
    <w:rPr>
      <w:caps/>
      <w:color w:val="1A495C" w:themeColor="accent1" w:themeShade="7F"/>
      <w:spacing w:val="15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0E7F96"/>
    <w:pPr>
      <w:pBdr>
        <w:top w:val="dotted" w:sz="6" w:space="2" w:color="3494BA" w:themeColor="accent1"/>
      </w:pBdr>
      <w:spacing w:before="200" w:after="0"/>
      <w:outlineLvl w:val="3"/>
    </w:pPr>
    <w:rPr>
      <w:caps/>
      <w:color w:val="276E8B" w:themeColor="accent1" w:themeShade="BF"/>
      <w:spacing w:val="10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0E7F96"/>
    <w:pPr>
      <w:pBdr>
        <w:bottom w:val="single" w:sz="6" w:space="1" w:color="3494BA" w:themeColor="accent1"/>
      </w:pBdr>
      <w:spacing w:before="200" w:after="0"/>
      <w:outlineLvl w:val="4"/>
    </w:pPr>
    <w:rPr>
      <w:caps/>
      <w:color w:val="276E8B" w:themeColor="accent1" w:themeShade="BF"/>
      <w:spacing w:val="10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0E7F96"/>
    <w:pPr>
      <w:pBdr>
        <w:bottom w:val="dotted" w:sz="6" w:space="1" w:color="3494BA" w:themeColor="accent1"/>
      </w:pBdr>
      <w:spacing w:before="200" w:after="0"/>
      <w:outlineLvl w:val="5"/>
    </w:pPr>
    <w:rPr>
      <w:caps/>
      <w:color w:val="276E8B" w:themeColor="accent1" w:themeShade="BF"/>
      <w:spacing w:val="10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0E7F96"/>
    <w:pPr>
      <w:spacing w:before="200" w:after="0"/>
      <w:outlineLvl w:val="6"/>
    </w:pPr>
    <w:rPr>
      <w:caps/>
      <w:color w:val="276E8B" w:themeColor="accent1" w:themeShade="BF"/>
      <w:spacing w:val="10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0E7F96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0E7F96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0E7F96"/>
    <w:rPr>
      <w:caps/>
      <w:color w:val="FFFFFF" w:themeColor="background1"/>
      <w:spacing w:val="15"/>
      <w:sz w:val="22"/>
      <w:szCs w:val="22"/>
      <w:shd w:val="clear" w:color="auto" w:fill="3494BA" w:themeFill="accent1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0E7F96"/>
    <w:rPr>
      <w:caps/>
      <w:spacing w:val="15"/>
      <w:shd w:val="clear" w:color="auto" w:fill="D4EAF3" w:themeFill="accent1" w:themeFillTint="33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0E7F96"/>
    <w:rPr>
      <w:caps/>
      <w:color w:val="1A495C" w:themeColor="accent1" w:themeShade="7F"/>
      <w:spacing w:val="15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0E7F96"/>
    <w:rPr>
      <w:caps/>
      <w:color w:val="276E8B" w:themeColor="accent1" w:themeShade="BF"/>
      <w:spacing w:val="10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0E7F96"/>
    <w:rPr>
      <w:caps/>
      <w:color w:val="276E8B" w:themeColor="accent1" w:themeShade="BF"/>
      <w:spacing w:val="10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0E7F96"/>
    <w:rPr>
      <w:caps/>
      <w:color w:val="276E8B" w:themeColor="accent1" w:themeShade="BF"/>
      <w:spacing w:val="10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0E7F96"/>
    <w:rPr>
      <w:caps/>
      <w:color w:val="276E8B" w:themeColor="accent1" w:themeShade="BF"/>
      <w:spacing w:val="10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0E7F96"/>
    <w:rPr>
      <w:caps/>
      <w:spacing w:val="10"/>
      <w:sz w:val="18"/>
      <w:szCs w:val="1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0E7F96"/>
    <w:rPr>
      <w:i/>
      <w:iCs/>
      <w:caps/>
      <w:spacing w:val="10"/>
      <w:sz w:val="18"/>
      <w:szCs w:val="18"/>
    </w:rPr>
  </w:style>
  <w:style w:type="paragraph" w:styleId="Titulek">
    <w:name w:val="caption"/>
    <w:basedOn w:val="Normln"/>
    <w:next w:val="Normln"/>
    <w:uiPriority w:val="35"/>
    <w:unhideWhenUsed/>
    <w:qFormat/>
    <w:rsid w:val="000E7F96"/>
    <w:rPr>
      <w:b/>
      <w:bCs/>
      <w:color w:val="276E8B" w:themeColor="accent1" w:themeShade="BF"/>
      <w:sz w:val="16"/>
      <w:szCs w:val="16"/>
    </w:rPr>
  </w:style>
  <w:style w:type="paragraph" w:styleId="Nzev">
    <w:name w:val="Title"/>
    <w:basedOn w:val="Normln"/>
    <w:next w:val="Normln"/>
    <w:link w:val="NzevChar"/>
    <w:uiPriority w:val="10"/>
    <w:qFormat/>
    <w:rsid w:val="000E7F96"/>
    <w:pPr>
      <w:spacing w:before="0" w:after="0"/>
    </w:pPr>
    <w:rPr>
      <w:rFonts w:asciiTheme="majorHAnsi" w:eastAsiaTheme="majorEastAsia" w:hAnsiTheme="majorHAnsi" w:cstheme="majorBidi"/>
      <w:caps/>
      <w:color w:val="3494BA" w:themeColor="accent1"/>
      <w:spacing w:val="10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0E7F96"/>
    <w:rPr>
      <w:rFonts w:asciiTheme="majorHAnsi" w:eastAsiaTheme="majorEastAsia" w:hAnsiTheme="majorHAnsi" w:cstheme="majorBidi"/>
      <w:caps/>
      <w:color w:val="3494BA" w:themeColor="accent1"/>
      <w:spacing w:val="10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0E7F96"/>
    <w:pPr>
      <w:spacing w:before="0" w:after="500" w:line="240" w:lineRule="auto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PodnadpisChar">
    <w:name w:val="Podnadpis Char"/>
    <w:basedOn w:val="Standardnpsmoodstavce"/>
    <w:link w:val="Podnadpis"/>
    <w:uiPriority w:val="11"/>
    <w:rsid w:val="000E7F96"/>
    <w:rPr>
      <w:caps/>
      <w:color w:val="595959" w:themeColor="text1" w:themeTint="A6"/>
      <w:spacing w:val="10"/>
      <w:sz w:val="21"/>
      <w:szCs w:val="21"/>
    </w:rPr>
  </w:style>
  <w:style w:type="character" w:styleId="Siln">
    <w:name w:val="Strong"/>
    <w:uiPriority w:val="22"/>
    <w:qFormat/>
    <w:rsid w:val="000E7F96"/>
    <w:rPr>
      <w:b/>
      <w:bCs/>
    </w:rPr>
  </w:style>
  <w:style w:type="character" w:styleId="Zdraznn">
    <w:name w:val="Emphasis"/>
    <w:uiPriority w:val="20"/>
    <w:qFormat/>
    <w:rsid w:val="000E7F96"/>
    <w:rPr>
      <w:caps/>
      <w:color w:val="1A495C" w:themeColor="accent1" w:themeShade="7F"/>
      <w:spacing w:val="5"/>
    </w:rPr>
  </w:style>
  <w:style w:type="paragraph" w:styleId="Bezmezer">
    <w:name w:val="No Spacing"/>
    <w:uiPriority w:val="1"/>
    <w:qFormat/>
    <w:rsid w:val="000E7F96"/>
    <w:pPr>
      <w:spacing w:after="0" w:line="240" w:lineRule="auto"/>
    </w:pPr>
  </w:style>
  <w:style w:type="paragraph" w:styleId="Citt">
    <w:name w:val="Quote"/>
    <w:basedOn w:val="Normln"/>
    <w:next w:val="Normln"/>
    <w:link w:val="CittChar"/>
    <w:uiPriority w:val="29"/>
    <w:qFormat/>
    <w:rsid w:val="000E7F96"/>
    <w:rPr>
      <w:i/>
      <w:iCs/>
      <w:sz w:val="24"/>
      <w:szCs w:val="24"/>
    </w:rPr>
  </w:style>
  <w:style w:type="character" w:customStyle="1" w:styleId="CittChar">
    <w:name w:val="Citát Char"/>
    <w:basedOn w:val="Standardnpsmoodstavce"/>
    <w:link w:val="Citt"/>
    <w:uiPriority w:val="29"/>
    <w:rsid w:val="000E7F96"/>
    <w:rPr>
      <w:i/>
      <w:iCs/>
      <w:sz w:val="24"/>
      <w:szCs w:val="24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0E7F96"/>
    <w:pPr>
      <w:spacing w:before="240" w:after="240" w:line="240" w:lineRule="auto"/>
      <w:ind w:left="1080" w:right="1080"/>
      <w:jc w:val="center"/>
    </w:pPr>
    <w:rPr>
      <w:color w:val="3494BA" w:themeColor="accent1"/>
      <w:sz w:val="24"/>
      <w:szCs w:val="24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0E7F96"/>
    <w:rPr>
      <w:color w:val="3494BA" w:themeColor="accent1"/>
      <w:sz w:val="24"/>
      <w:szCs w:val="24"/>
    </w:rPr>
  </w:style>
  <w:style w:type="character" w:styleId="Zdraznnjemn">
    <w:name w:val="Subtle Emphasis"/>
    <w:uiPriority w:val="19"/>
    <w:qFormat/>
    <w:rsid w:val="000E7F96"/>
    <w:rPr>
      <w:i/>
      <w:iCs/>
      <w:color w:val="1A495C" w:themeColor="accent1" w:themeShade="7F"/>
    </w:rPr>
  </w:style>
  <w:style w:type="character" w:styleId="Zdraznnintenzivn">
    <w:name w:val="Intense Emphasis"/>
    <w:uiPriority w:val="21"/>
    <w:qFormat/>
    <w:rsid w:val="000E7F96"/>
    <w:rPr>
      <w:b/>
      <w:bCs/>
      <w:caps/>
      <w:color w:val="1A495C" w:themeColor="accent1" w:themeShade="7F"/>
      <w:spacing w:val="10"/>
    </w:rPr>
  </w:style>
  <w:style w:type="character" w:styleId="Odkazjemn">
    <w:name w:val="Subtle Reference"/>
    <w:uiPriority w:val="31"/>
    <w:qFormat/>
    <w:rsid w:val="000E7F96"/>
    <w:rPr>
      <w:b/>
      <w:bCs/>
      <w:color w:val="3494BA" w:themeColor="accent1"/>
    </w:rPr>
  </w:style>
  <w:style w:type="character" w:styleId="Odkazintenzivn">
    <w:name w:val="Intense Reference"/>
    <w:uiPriority w:val="32"/>
    <w:qFormat/>
    <w:rsid w:val="000E7F96"/>
    <w:rPr>
      <w:b/>
      <w:bCs/>
      <w:i/>
      <w:iCs/>
      <w:caps/>
      <w:color w:val="3494BA" w:themeColor="accent1"/>
    </w:rPr>
  </w:style>
  <w:style w:type="character" w:styleId="Nzevknihy">
    <w:name w:val="Book Title"/>
    <w:uiPriority w:val="33"/>
    <w:qFormat/>
    <w:rsid w:val="000E7F96"/>
    <w:rPr>
      <w:b/>
      <w:bCs/>
      <w:i/>
      <w:iCs/>
      <w:spacing w:val="0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0E7F96"/>
    <w:pPr>
      <w:outlineLvl w:val="9"/>
    </w:pPr>
  </w:style>
  <w:style w:type="table" w:customStyle="1" w:styleId="Barevntabulkaseznamu71">
    <w:name w:val="Barevná tabulka seznamu 71"/>
    <w:basedOn w:val="Normlntabulka"/>
    <w:uiPriority w:val="52"/>
    <w:rsid w:val="000E7F96"/>
    <w:pPr>
      <w:spacing w:before="0" w:after="0" w:line="240" w:lineRule="auto"/>
    </w:pPr>
    <w:rPr>
      <w:color w:val="000000" w:themeColor="text1"/>
      <w:sz w:val="22"/>
      <w:szCs w:val="22"/>
      <w:lang w:eastAsia="cs-CZ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Barevntabulkasmkou7zvraznn11">
    <w:name w:val="Barevná tabulka s mřížkou 7 – zvýraznění 11"/>
    <w:basedOn w:val="Normlntabulka"/>
    <w:uiPriority w:val="52"/>
    <w:rsid w:val="000E7F96"/>
    <w:pPr>
      <w:spacing w:after="0" w:line="240" w:lineRule="auto"/>
    </w:pPr>
    <w:rPr>
      <w:color w:val="276E8B" w:themeColor="accent1" w:themeShade="BF"/>
    </w:rPr>
    <w:tblPr>
      <w:tblStyleRowBandSize w:val="1"/>
      <w:tblStyleColBandSize w:val="1"/>
      <w:tblBorders>
        <w:top w:val="single" w:sz="4" w:space="0" w:color="7FC0DB" w:themeColor="accent1" w:themeTint="99"/>
        <w:left w:val="single" w:sz="4" w:space="0" w:color="7FC0DB" w:themeColor="accent1" w:themeTint="99"/>
        <w:bottom w:val="single" w:sz="4" w:space="0" w:color="7FC0DB" w:themeColor="accent1" w:themeTint="99"/>
        <w:right w:val="single" w:sz="4" w:space="0" w:color="7FC0DB" w:themeColor="accent1" w:themeTint="99"/>
        <w:insideH w:val="single" w:sz="4" w:space="0" w:color="7FC0DB" w:themeColor="accent1" w:themeTint="99"/>
        <w:insideV w:val="single" w:sz="4" w:space="0" w:color="7FC0DB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4EAF3" w:themeFill="accent1" w:themeFillTint="33"/>
      </w:tcPr>
    </w:tblStylePr>
    <w:tblStylePr w:type="band1Horz">
      <w:tblPr/>
      <w:tcPr>
        <w:shd w:val="clear" w:color="auto" w:fill="D4EAF3" w:themeFill="accent1" w:themeFillTint="33"/>
      </w:tcPr>
    </w:tblStylePr>
    <w:tblStylePr w:type="neCell">
      <w:tblPr/>
      <w:tcPr>
        <w:tcBorders>
          <w:bottom w:val="single" w:sz="4" w:space="0" w:color="7FC0DB" w:themeColor="accent1" w:themeTint="99"/>
        </w:tcBorders>
      </w:tcPr>
    </w:tblStylePr>
    <w:tblStylePr w:type="nwCell">
      <w:tblPr/>
      <w:tcPr>
        <w:tcBorders>
          <w:bottom w:val="single" w:sz="4" w:space="0" w:color="7FC0DB" w:themeColor="accent1" w:themeTint="99"/>
        </w:tcBorders>
      </w:tcPr>
    </w:tblStylePr>
    <w:tblStylePr w:type="seCell">
      <w:tblPr/>
      <w:tcPr>
        <w:tcBorders>
          <w:top w:val="single" w:sz="4" w:space="0" w:color="7FC0DB" w:themeColor="accent1" w:themeTint="99"/>
        </w:tcBorders>
      </w:tcPr>
    </w:tblStylePr>
    <w:tblStylePr w:type="swCell">
      <w:tblPr/>
      <w:tcPr>
        <w:tcBorders>
          <w:top w:val="single" w:sz="4" w:space="0" w:color="7FC0DB" w:themeColor="accent1" w:themeTint="99"/>
        </w:tcBorders>
      </w:tcPr>
    </w:tblStylePr>
  </w:style>
  <w:style w:type="table" w:customStyle="1" w:styleId="Barevntabulkasmkou7zvraznn21">
    <w:name w:val="Barevná tabulka s mřížkou 7 – zvýraznění 21"/>
    <w:basedOn w:val="Normlntabulka"/>
    <w:uiPriority w:val="52"/>
    <w:rsid w:val="000E7F96"/>
    <w:pPr>
      <w:spacing w:after="0" w:line="240" w:lineRule="auto"/>
    </w:pPr>
    <w:rPr>
      <w:color w:val="398E98" w:themeColor="accent2" w:themeShade="BF"/>
    </w:rPr>
    <w:tblPr>
      <w:tblStyleRowBandSize w:val="1"/>
      <w:tblStyleColBandSize w:val="1"/>
      <w:tblBorders>
        <w:top w:val="single" w:sz="4" w:space="0" w:color="9AD3D9" w:themeColor="accent2" w:themeTint="99"/>
        <w:left w:val="single" w:sz="4" w:space="0" w:color="9AD3D9" w:themeColor="accent2" w:themeTint="99"/>
        <w:bottom w:val="single" w:sz="4" w:space="0" w:color="9AD3D9" w:themeColor="accent2" w:themeTint="99"/>
        <w:right w:val="single" w:sz="4" w:space="0" w:color="9AD3D9" w:themeColor="accent2" w:themeTint="99"/>
        <w:insideH w:val="single" w:sz="4" w:space="0" w:color="9AD3D9" w:themeColor="accent2" w:themeTint="99"/>
        <w:insideV w:val="single" w:sz="4" w:space="0" w:color="9AD3D9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DF0F2" w:themeFill="accent2" w:themeFillTint="33"/>
      </w:tcPr>
    </w:tblStylePr>
    <w:tblStylePr w:type="band1Horz">
      <w:tblPr/>
      <w:tcPr>
        <w:shd w:val="clear" w:color="auto" w:fill="DDF0F2" w:themeFill="accent2" w:themeFillTint="33"/>
      </w:tcPr>
    </w:tblStylePr>
    <w:tblStylePr w:type="neCell">
      <w:tblPr/>
      <w:tcPr>
        <w:tcBorders>
          <w:bottom w:val="single" w:sz="4" w:space="0" w:color="9AD3D9" w:themeColor="accent2" w:themeTint="99"/>
        </w:tcBorders>
      </w:tcPr>
    </w:tblStylePr>
    <w:tblStylePr w:type="nwCell">
      <w:tblPr/>
      <w:tcPr>
        <w:tcBorders>
          <w:bottom w:val="single" w:sz="4" w:space="0" w:color="9AD3D9" w:themeColor="accent2" w:themeTint="99"/>
        </w:tcBorders>
      </w:tcPr>
    </w:tblStylePr>
    <w:tblStylePr w:type="seCell">
      <w:tblPr/>
      <w:tcPr>
        <w:tcBorders>
          <w:top w:val="single" w:sz="4" w:space="0" w:color="9AD3D9" w:themeColor="accent2" w:themeTint="99"/>
        </w:tcBorders>
      </w:tcPr>
    </w:tblStylePr>
    <w:tblStylePr w:type="swCell">
      <w:tblPr/>
      <w:tcPr>
        <w:tcBorders>
          <w:top w:val="single" w:sz="4" w:space="0" w:color="9AD3D9" w:themeColor="accent2" w:themeTint="99"/>
        </w:tcBorders>
      </w:tcPr>
    </w:tblStyle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0E7F96"/>
    <w:pPr>
      <w:spacing w:before="0" w:after="0" w:line="240" w:lineRule="auto"/>
    </w:pPr>
    <w:rPr>
      <w:lang w:eastAsia="cs-CZ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0E7F96"/>
    <w:rPr>
      <w:lang w:eastAsia="cs-CZ"/>
    </w:rPr>
  </w:style>
  <w:style w:type="character" w:styleId="Znakapoznpodarou">
    <w:name w:val="footnote reference"/>
    <w:basedOn w:val="Standardnpsmoodstavce"/>
    <w:uiPriority w:val="99"/>
    <w:semiHidden/>
    <w:unhideWhenUsed/>
    <w:rsid w:val="000E7F96"/>
    <w:rPr>
      <w:vertAlign w:val="superscript"/>
    </w:rPr>
  </w:style>
  <w:style w:type="character" w:styleId="Odkaznakoment">
    <w:name w:val="annotation reference"/>
    <w:basedOn w:val="Standardnpsmoodstavce"/>
    <w:uiPriority w:val="99"/>
    <w:semiHidden/>
    <w:unhideWhenUsed/>
    <w:rsid w:val="006B3DB5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B3DB5"/>
    <w:pPr>
      <w:spacing w:line="240" w:lineRule="auto"/>
    </w:p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B3DB5"/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B3DB5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B3DB5"/>
    <w:rPr>
      <w:b/>
      <w:bCs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6B3DB5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6B3DB5"/>
    <w:rPr>
      <w:rFonts w:ascii="Segoe UI" w:hAnsi="Segoe UI" w:cs="Segoe UI"/>
      <w:sz w:val="18"/>
      <w:szCs w:val="18"/>
    </w:rPr>
  </w:style>
  <w:style w:type="paragraph" w:styleId="Odstavecseseznamem">
    <w:name w:val="List Paragraph"/>
    <w:basedOn w:val="Normln"/>
    <w:uiPriority w:val="34"/>
    <w:qFormat/>
    <w:rsid w:val="007F78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Blue Green">
      <a:dk1>
        <a:sysClr val="windowText" lastClr="000000"/>
      </a:dk1>
      <a:lt1>
        <a:sysClr val="window" lastClr="FFFFFF"/>
      </a:lt1>
      <a:dk2>
        <a:srgbClr val="373545"/>
      </a:dk2>
      <a:lt2>
        <a:srgbClr val="CEDBE6"/>
      </a:lt2>
      <a:accent1>
        <a:srgbClr val="3494BA"/>
      </a:accent1>
      <a:accent2>
        <a:srgbClr val="58B6C0"/>
      </a:accent2>
      <a:accent3>
        <a:srgbClr val="75BDA7"/>
      </a:accent3>
      <a:accent4>
        <a:srgbClr val="7A8C8E"/>
      </a:accent4>
      <a:accent5>
        <a:srgbClr val="84ACB6"/>
      </a:accent5>
      <a:accent6>
        <a:srgbClr val="2683C6"/>
      </a:accent6>
      <a:hlink>
        <a:srgbClr val="6B9F25"/>
      </a:hlink>
      <a:folHlink>
        <a:srgbClr val="9F6715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.XSL" StyleName="ISO 690 – první prvek a datum" Version="1987"/>
</file>

<file path=customXml/itemProps1.xml><?xml version="1.0" encoding="utf-8"?>
<ds:datastoreItem xmlns:ds="http://schemas.openxmlformats.org/officeDocument/2006/customXml" ds:itemID="{1225A80B-DC8E-451F-9C86-C55069BE1D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560</Words>
  <Characters>3307</Characters>
  <Application>Microsoft Office Word</Application>
  <DocSecurity>0</DocSecurity>
  <Lines>27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Ludek Moravec</dc:creator>
  <cp:keywords/>
  <dc:description/>
  <cp:lastModifiedBy>Ceklová Michaela, Mgr.</cp:lastModifiedBy>
  <cp:revision>4</cp:revision>
  <cp:lastPrinted>2025-01-08T09:54:00Z</cp:lastPrinted>
  <dcterms:created xsi:type="dcterms:W3CDTF">2026-02-02T08:47:00Z</dcterms:created>
  <dcterms:modified xsi:type="dcterms:W3CDTF">2026-02-02T08:47:00Z</dcterms:modified>
</cp:coreProperties>
</file>